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621" w:rsidRDefault="009A5B3B">
      <w:pPr>
        <w:jc w:val="center"/>
        <w:rPr>
          <w:color w:val="1E3454"/>
        </w:rPr>
      </w:pPr>
      <w:r>
        <w:rPr>
          <w:noProof/>
          <w:color w:val="1E3454"/>
        </w:rPr>
        <w:drawing>
          <wp:inline distT="0" distB="0" distL="0" distR="0">
            <wp:extent cx="3506781" cy="75940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6781" cy="7594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6621" w:rsidRDefault="009A5B3B">
      <w:pPr>
        <w:rPr>
          <w:b/>
          <w:color w:val="1E3454"/>
          <w:sz w:val="28"/>
          <w:szCs w:val="28"/>
          <w:u w:val="single"/>
        </w:rPr>
      </w:pPr>
      <w:r>
        <w:rPr>
          <w:b/>
          <w:color w:val="1E3454"/>
          <w:sz w:val="24"/>
          <w:szCs w:val="24"/>
        </w:rPr>
        <w:br/>
      </w:r>
      <w:r>
        <w:rPr>
          <w:b/>
          <w:color w:val="1E3454"/>
          <w:sz w:val="28"/>
          <w:szCs w:val="28"/>
          <w:u w:val="single"/>
        </w:rPr>
        <w:t>Reading &amp; Writing: Bridge to Supervisor of Instruction</w:t>
      </w:r>
    </w:p>
    <w:p w:rsidR="00B36621" w:rsidRDefault="00B36621">
      <w:pPr>
        <w:rPr>
          <w:b/>
          <w:color w:val="1E3454"/>
          <w:sz w:val="24"/>
          <w:szCs w:val="24"/>
        </w:rPr>
      </w:pPr>
    </w:p>
    <w:tbl>
      <w:tblPr>
        <w:tblStyle w:val="a"/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4140"/>
        <w:gridCol w:w="1980"/>
        <w:gridCol w:w="1351"/>
        <w:gridCol w:w="753"/>
      </w:tblGrid>
      <w:tr w:rsidR="00B36621">
        <w:trPr>
          <w:trHeight w:val="456"/>
        </w:trPr>
        <w:tc>
          <w:tcPr>
            <w:tcW w:w="1255" w:type="dxa"/>
            <w:shd w:val="clear" w:color="auto" w:fill="1E3454"/>
            <w:vAlign w:val="bottom"/>
          </w:tcPr>
          <w:p w:rsidR="00B36621" w:rsidRDefault="009A5B3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4140" w:type="dxa"/>
            <w:shd w:val="clear" w:color="auto" w:fill="1E3454"/>
            <w:vAlign w:val="bottom"/>
          </w:tcPr>
          <w:p w:rsidR="00B36621" w:rsidRDefault="009A5B3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Course Title</w:t>
            </w:r>
          </w:p>
        </w:tc>
        <w:tc>
          <w:tcPr>
            <w:tcW w:w="1980" w:type="dxa"/>
            <w:shd w:val="clear" w:color="auto" w:fill="1E3454"/>
            <w:vAlign w:val="bottom"/>
          </w:tcPr>
          <w:p w:rsidR="00B36621" w:rsidRDefault="009A5B3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Professor</w:t>
            </w:r>
          </w:p>
        </w:tc>
        <w:tc>
          <w:tcPr>
            <w:tcW w:w="1351" w:type="dxa"/>
            <w:shd w:val="clear" w:color="auto" w:fill="1E3454"/>
            <w:vAlign w:val="bottom"/>
          </w:tcPr>
          <w:p w:rsidR="00B36621" w:rsidRDefault="009A5B3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Semester</w:t>
            </w:r>
          </w:p>
        </w:tc>
        <w:tc>
          <w:tcPr>
            <w:tcW w:w="753" w:type="dxa"/>
            <w:shd w:val="clear" w:color="auto" w:fill="1E3454"/>
            <w:vAlign w:val="bottom"/>
          </w:tcPr>
          <w:p w:rsidR="00B36621" w:rsidRDefault="009A5B3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Grade</w:t>
            </w:r>
          </w:p>
        </w:tc>
      </w:tr>
      <w:tr w:rsidR="00B36621">
        <w:trPr>
          <w:trHeight w:val="1212"/>
        </w:trPr>
        <w:tc>
          <w:tcPr>
            <w:tcW w:w="1255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602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Methods of Teaching Writing Across the Curriculum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423"/>
        </w:trPr>
        <w:tc>
          <w:tcPr>
            <w:tcW w:w="1255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612</w:t>
            </w:r>
          </w:p>
        </w:tc>
        <w:tc>
          <w:tcPr>
            <w:tcW w:w="4140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Foundations of Literacy or REA 624 Kentucky Reading Project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730"/>
        </w:trPr>
        <w:tc>
          <w:tcPr>
            <w:tcW w:w="1255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618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Content Area Literacy K-12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411"/>
        </w:trPr>
        <w:tc>
          <w:tcPr>
            <w:tcW w:w="1255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626</w:t>
            </w:r>
          </w:p>
        </w:tc>
        <w:tc>
          <w:tcPr>
            <w:tcW w:w="4140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Word Study: Phonics, Spelling,</w:t>
            </w:r>
          </w:p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 xml:space="preserve"> and Vocabulary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730"/>
        </w:trPr>
        <w:tc>
          <w:tcPr>
            <w:tcW w:w="1255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628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B36621" w:rsidRDefault="009A5B3B">
            <w:pPr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Literacy Assessment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423"/>
        </w:trPr>
        <w:tc>
          <w:tcPr>
            <w:tcW w:w="1255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REA 638</w:t>
            </w:r>
          </w:p>
        </w:tc>
        <w:tc>
          <w:tcPr>
            <w:tcW w:w="4140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Assessment and Instruction of Children and Reading Difficulties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730"/>
        </w:trPr>
        <w:tc>
          <w:tcPr>
            <w:tcW w:w="1255" w:type="dxa"/>
            <w:shd w:val="clear" w:color="auto" w:fill="FABD36"/>
            <w:vAlign w:val="center"/>
          </w:tcPr>
          <w:p w:rsidR="00B36621" w:rsidRDefault="00D54775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*</w:t>
            </w:r>
            <w:r w:rsidR="009A5B3B">
              <w:rPr>
                <w:color w:val="1E3454"/>
                <w:sz w:val="20"/>
                <w:szCs w:val="20"/>
              </w:rPr>
              <w:t>REA 639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Supervised Practicum in Reading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423"/>
        </w:trPr>
        <w:tc>
          <w:tcPr>
            <w:tcW w:w="1255" w:type="dxa"/>
            <w:shd w:val="clear" w:color="auto" w:fill="F5DB83"/>
            <w:vAlign w:val="center"/>
          </w:tcPr>
          <w:p w:rsidR="00B36621" w:rsidRDefault="00D54775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*</w:t>
            </w:r>
            <w:r w:rsidR="009A5B3B">
              <w:rPr>
                <w:color w:val="1E3454"/>
                <w:sz w:val="20"/>
                <w:szCs w:val="20"/>
              </w:rPr>
              <w:t>ADM 611</w:t>
            </w:r>
          </w:p>
        </w:tc>
        <w:tc>
          <w:tcPr>
            <w:tcW w:w="4140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Instructional Leadership and Coaching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718"/>
        </w:trPr>
        <w:tc>
          <w:tcPr>
            <w:tcW w:w="1255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ADM 6</w:t>
            </w:r>
            <w:r w:rsidR="00D54775">
              <w:rPr>
                <w:color w:val="1E3454"/>
                <w:sz w:val="20"/>
                <w:szCs w:val="20"/>
              </w:rPr>
              <w:t>6</w:t>
            </w:r>
            <w:r>
              <w:rPr>
                <w:color w:val="1E3454"/>
                <w:sz w:val="20"/>
                <w:szCs w:val="20"/>
              </w:rPr>
              <w:t>5</w:t>
            </w:r>
          </w:p>
        </w:tc>
        <w:tc>
          <w:tcPr>
            <w:tcW w:w="4140" w:type="dxa"/>
            <w:shd w:val="clear" w:color="auto" w:fill="F5DB83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District Wide Instructional Supervisor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B36621">
        <w:trPr>
          <w:trHeight w:val="718"/>
        </w:trPr>
        <w:tc>
          <w:tcPr>
            <w:tcW w:w="1255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ADM 759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B36621" w:rsidRDefault="009A5B3B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Instructional Planning in Education (3)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36621" w:rsidRDefault="00B36621">
            <w:pPr>
              <w:rPr>
                <w:color w:val="1E3454"/>
                <w:sz w:val="20"/>
                <w:szCs w:val="20"/>
              </w:rPr>
            </w:pPr>
          </w:p>
        </w:tc>
      </w:tr>
      <w:tr w:rsidR="00A25BE2">
        <w:trPr>
          <w:trHeight w:val="718"/>
        </w:trPr>
        <w:tc>
          <w:tcPr>
            <w:tcW w:w="1255" w:type="dxa"/>
            <w:shd w:val="clear" w:color="auto" w:fill="FABD36"/>
            <w:vAlign w:val="center"/>
          </w:tcPr>
          <w:p w:rsidR="00A25BE2" w:rsidRDefault="00A25BE2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ADM 631</w:t>
            </w:r>
          </w:p>
        </w:tc>
        <w:tc>
          <w:tcPr>
            <w:tcW w:w="4140" w:type="dxa"/>
            <w:shd w:val="clear" w:color="auto" w:fill="FABD36"/>
            <w:vAlign w:val="center"/>
          </w:tcPr>
          <w:p w:rsidR="00A25BE2" w:rsidRDefault="00A25BE2">
            <w:pPr>
              <w:spacing w:after="0" w:line="240" w:lineRule="auto"/>
              <w:rPr>
                <w:color w:val="1E3454"/>
                <w:sz w:val="20"/>
                <w:szCs w:val="20"/>
              </w:rPr>
            </w:pPr>
            <w:r>
              <w:rPr>
                <w:color w:val="1E3454"/>
                <w:sz w:val="20"/>
                <w:szCs w:val="20"/>
              </w:rPr>
              <w:t>Org and Preparation of Schools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5BE2" w:rsidRDefault="00A25BE2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A25BE2" w:rsidRDefault="00A25BE2">
            <w:pPr>
              <w:rPr>
                <w:color w:val="1E3454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A25BE2" w:rsidRDefault="00A25BE2">
            <w:pPr>
              <w:rPr>
                <w:color w:val="1E3454"/>
                <w:sz w:val="20"/>
                <w:szCs w:val="20"/>
              </w:rPr>
            </w:pPr>
          </w:p>
        </w:tc>
      </w:tr>
    </w:tbl>
    <w:p w:rsidR="00B36621" w:rsidRDefault="009A5B3B">
      <w:pPr>
        <w:rPr>
          <w:b/>
          <w:color w:val="1E3454"/>
          <w:sz w:val="24"/>
          <w:szCs w:val="24"/>
        </w:rPr>
      </w:pPr>
      <w:r>
        <w:rPr>
          <w:color w:val="1E3454"/>
        </w:rPr>
        <w:t xml:space="preserve">*ADM 691-02 may be substituted </w:t>
      </w:r>
    </w:p>
    <w:p w:rsidR="00B36621" w:rsidRDefault="00B36621">
      <w:pPr>
        <w:rPr>
          <w:b/>
          <w:color w:val="1E3454"/>
          <w:sz w:val="24"/>
          <w:szCs w:val="24"/>
        </w:rPr>
      </w:pPr>
    </w:p>
    <w:p w:rsidR="00B36621" w:rsidRDefault="00B36621">
      <w:pPr>
        <w:rPr>
          <w:b/>
          <w:color w:val="1E3454"/>
          <w:sz w:val="24"/>
          <w:szCs w:val="24"/>
        </w:rPr>
      </w:pPr>
    </w:p>
    <w:p w:rsidR="00B36621" w:rsidRDefault="00B36621">
      <w:pPr>
        <w:rPr>
          <w:b/>
          <w:color w:val="1E3454"/>
          <w:sz w:val="24"/>
          <w:szCs w:val="24"/>
        </w:rPr>
      </w:pPr>
    </w:p>
    <w:p w:rsidR="00B36621" w:rsidRDefault="00B36621">
      <w:pPr>
        <w:rPr>
          <w:b/>
          <w:color w:val="1E3454"/>
          <w:sz w:val="24"/>
          <w:szCs w:val="24"/>
        </w:rPr>
      </w:pPr>
    </w:p>
    <w:p w:rsidR="00B36621" w:rsidRDefault="00B36621">
      <w:pPr>
        <w:rPr>
          <w:b/>
          <w:color w:val="1E3454"/>
          <w:sz w:val="24"/>
          <w:szCs w:val="24"/>
        </w:rPr>
      </w:pPr>
    </w:p>
    <w:p w:rsidR="00B36621" w:rsidRDefault="009A5B3B">
      <w:pPr>
        <w:rPr>
          <w:b/>
          <w:color w:val="1E3454"/>
          <w:sz w:val="24"/>
          <w:szCs w:val="24"/>
        </w:rPr>
      </w:pPr>
      <w:r>
        <w:rPr>
          <w:b/>
          <w:color w:val="1E3454"/>
          <w:sz w:val="24"/>
          <w:szCs w:val="24"/>
        </w:rPr>
        <w:t>Admission Requirements:</w:t>
      </w:r>
    </w:p>
    <w:p w:rsidR="00B36621" w:rsidRDefault="009A5B3B">
      <w:pPr>
        <w:numPr>
          <w:ilvl w:val="0"/>
          <w:numId w:val="2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Admission to the program requires a valid teaching certificate and admission to the Murray State University Graduate School.</w:t>
      </w:r>
    </w:p>
    <w:p w:rsidR="00B36621" w:rsidRDefault="009A5B3B">
      <w:pPr>
        <w:numPr>
          <w:ilvl w:val="0"/>
          <w:numId w:val="2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The teacher certification requirement for admission to the program may be waived with the understanding that completion of the program will not certify one for the Literacy Specialist Endorsement (Grades P-12) or as a classroom teacher in Kentucky.</w:t>
      </w:r>
    </w:p>
    <w:p w:rsidR="00B36621" w:rsidRDefault="009A5B3B">
      <w:pPr>
        <w:numPr>
          <w:ilvl w:val="0"/>
          <w:numId w:val="2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 xml:space="preserve">Prospective and current candidates may request course credit towards a course of study in recognition of Prior Learning. Candidates may earn up to </w:t>
      </w:r>
      <w:r w:rsidR="00A25BE2">
        <w:rPr>
          <w:color w:val="1E3454"/>
          <w:sz w:val="24"/>
          <w:szCs w:val="24"/>
        </w:rPr>
        <w:t>12</w:t>
      </w:r>
      <w:r>
        <w:rPr>
          <w:color w:val="1E3454"/>
          <w:sz w:val="24"/>
          <w:szCs w:val="24"/>
        </w:rPr>
        <w:t xml:space="preserve"> hours of course credit for relevant experience. </w:t>
      </w:r>
    </w:p>
    <w:p w:rsidR="00B36621" w:rsidRDefault="009A5B3B">
      <w:pPr>
        <w:numPr>
          <w:ilvl w:val="1"/>
          <w:numId w:val="2"/>
        </w:numPr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These credits are considered with documentation of the prior learning and $250 processing fee</w:t>
      </w:r>
      <w:r w:rsidR="00A25BE2">
        <w:rPr>
          <w:color w:val="1E3454"/>
          <w:sz w:val="24"/>
          <w:szCs w:val="24"/>
        </w:rPr>
        <w:t xml:space="preserve"> for 3 credit hours.</w:t>
      </w:r>
    </w:p>
    <w:p w:rsidR="00B36621" w:rsidRDefault="00B36621">
      <w:pPr>
        <w:spacing w:after="0" w:line="240" w:lineRule="auto"/>
        <w:ind w:left="720" w:hanging="360"/>
        <w:rPr>
          <w:color w:val="1E3454"/>
        </w:rPr>
      </w:pPr>
    </w:p>
    <w:p w:rsidR="00B36621" w:rsidRDefault="00B36621">
      <w:pPr>
        <w:spacing w:after="0" w:line="240" w:lineRule="auto"/>
        <w:rPr>
          <w:color w:val="1E3454"/>
        </w:rPr>
      </w:pPr>
    </w:p>
    <w:p w:rsidR="00B36621" w:rsidRDefault="009A5B3B">
      <w:pPr>
        <w:rPr>
          <w:b/>
          <w:color w:val="1E3454"/>
          <w:sz w:val="24"/>
          <w:szCs w:val="24"/>
        </w:rPr>
      </w:pPr>
      <w:r>
        <w:rPr>
          <w:b/>
          <w:color w:val="1E3454"/>
          <w:sz w:val="24"/>
          <w:szCs w:val="24"/>
        </w:rPr>
        <w:t>Program Completion:</w:t>
      </w:r>
    </w:p>
    <w:p w:rsidR="00B36621" w:rsidRDefault="009A5B3B">
      <w:pPr>
        <w:numPr>
          <w:ilvl w:val="0"/>
          <w:numId w:val="1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Requirements for the program must be completed within eight years from the time a student initially enrolls in any course applicable to the program</w:t>
      </w:r>
    </w:p>
    <w:p w:rsidR="00B36621" w:rsidRDefault="009A5B3B">
      <w:pPr>
        <w:numPr>
          <w:ilvl w:val="0"/>
          <w:numId w:val="1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G.P.A.: 3.0 on 4.0 scale with no grade lower than a “C”</w:t>
      </w:r>
    </w:p>
    <w:p w:rsidR="00B36621" w:rsidRDefault="009A5B3B">
      <w:pPr>
        <w:numPr>
          <w:ilvl w:val="0"/>
          <w:numId w:val="1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Student Teacher Vouchers for hosting student teacher candidates may be applied toward (1) 3-credit-hour tuition course (if not expired)</w:t>
      </w:r>
    </w:p>
    <w:p w:rsidR="00B36621" w:rsidRDefault="009A5B3B">
      <w:pPr>
        <w:numPr>
          <w:ilvl w:val="0"/>
          <w:numId w:val="1"/>
        </w:numPr>
        <w:spacing w:after="0"/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Can be completed through distance learning</w:t>
      </w:r>
    </w:p>
    <w:p w:rsidR="00B36621" w:rsidRDefault="009A5B3B">
      <w:pPr>
        <w:numPr>
          <w:ilvl w:val="0"/>
          <w:numId w:val="1"/>
        </w:numPr>
        <w:rPr>
          <w:color w:val="1E3454"/>
          <w:sz w:val="24"/>
          <w:szCs w:val="24"/>
        </w:rPr>
      </w:pPr>
      <w:r>
        <w:rPr>
          <w:color w:val="1E3454"/>
          <w:sz w:val="24"/>
          <w:szCs w:val="24"/>
        </w:rPr>
        <w:t>Finish in as little as 5 semesters</w:t>
      </w:r>
    </w:p>
    <w:p w:rsidR="00B36621" w:rsidRDefault="00B36621">
      <w:pPr>
        <w:rPr>
          <w:color w:val="1E3454"/>
          <w:sz w:val="24"/>
          <w:szCs w:val="24"/>
        </w:rPr>
      </w:pPr>
    </w:p>
    <w:p w:rsidR="00B36621" w:rsidRDefault="009A5B3B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To obtain a Supervisor of Instruction certification, the candidate must take the following additional courses and pass state required assessments, such as the SLLA 6990:</w:t>
      </w:r>
    </w:p>
    <w:p w:rsidR="00B36621" w:rsidRDefault="009A5B3B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ADM 601, ADM 672, ADM 631, and ADM 682</w:t>
      </w:r>
    </w:p>
    <w:p w:rsidR="00B36621" w:rsidRDefault="00B36621">
      <w:pPr>
        <w:rPr>
          <w:color w:val="1E3454"/>
          <w:sz w:val="24"/>
          <w:szCs w:val="24"/>
        </w:rPr>
      </w:pPr>
    </w:p>
    <w:p w:rsidR="00B36621" w:rsidRDefault="00B36621">
      <w:pPr>
        <w:rPr>
          <w:color w:val="1E3454"/>
          <w:sz w:val="24"/>
          <w:szCs w:val="24"/>
        </w:rPr>
      </w:pPr>
    </w:p>
    <w:p w:rsidR="00B36621" w:rsidRDefault="00B36621">
      <w:pPr>
        <w:rPr>
          <w:color w:val="1E3454"/>
          <w:sz w:val="20"/>
          <w:szCs w:val="20"/>
        </w:rPr>
      </w:pPr>
    </w:p>
    <w:p w:rsidR="00B36621" w:rsidRDefault="009A5B3B">
      <w:pPr>
        <w:rPr>
          <w:color w:val="1E3454"/>
          <w:sz w:val="20"/>
          <w:szCs w:val="20"/>
        </w:rPr>
      </w:pPr>
      <w:r>
        <w:rPr>
          <w:color w:val="1E3454"/>
          <w:sz w:val="20"/>
          <w:szCs w:val="20"/>
        </w:rPr>
        <w:t>Candidate’s Name (printed) ________________________________________________________________</w:t>
      </w:r>
      <w:r>
        <w:rPr>
          <w:color w:val="1E3454"/>
          <w:sz w:val="20"/>
          <w:szCs w:val="20"/>
        </w:rPr>
        <w:br/>
      </w:r>
    </w:p>
    <w:p w:rsidR="00B36621" w:rsidRDefault="009A5B3B">
      <w:pPr>
        <w:rPr>
          <w:color w:val="1E3454"/>
          <w:sz w:val="20"/>
          <w:szCs w:val="20"/>
        </w:rPr>
      </w:pPr>
      <w:r>
        <w:rPr>
          <w:color w:val="1E3454"/>
          <w:sz w:val="20"/>
          <w:szCs w:val="20"/>
        </w:rPr>
        <w:t>___________________________</w:t>
      </w:r>
      <w:r>
        <w:rPr>
          <w:color w:val="1E3454"/>
          <w:sz w:val="20"/>
          <w:szCs w:val="20"/>
          <w:u w:val="single"/>
        </w:rPr>
        <w:t>__/_</w:t>
      </w:r>
      <w:r>
        <w:rPr>
          <w:color w:val="1E3454"/>
          <w:sz w:val="20"/>
          <w:szCs w:val="20"/>
        </w:rPr>
        <w:t>____________    ___________________________</w:t>
      </w:r>
      <w:r>
        <w:rPr>
          <w:color w:val="1E3454"/>
          <w:sz w:val="20"/>
          <w:szCs w:val="20"/>
          <w:u w:val="single"/>
        </w:rPr>
        <w:t>__/_</w:t>
      </w:r>
      <w:r>
        <w:rPr>
          <w:color w:val="1E3454"/>
          <w:sz w:val="20"/>
          <w:szCs w:val="20"/>
        </w:rPr>
        <w:t>____________</w:t>
      </w:r>
    </w:p>
    <w:p w:rsidR="00B36621" w:rsidRDefault="009A5B3B">
      <w:pPr>
        <w:rPr>
          <w:color w:val="1E3454"/>
          <w:sz w:val="20"/>
          <w:szCs w:val="20"/>
        </w:rPr>
      </w:pPr>
      <w:r>
        <w:rPr>
          <w:color w:val="1E3454"/>
          <w:sz w:val="20"/>
          <w:szCs w:val="20"/>
        </w:rPr>
        <w:t>Candidate’s Signature                           Date</w:t>
      </w:r>
      <w:r>
        <w:rPr>
          <w:color w:val="1E3454"/>
          <w:sz w:val="20"/>
          <w:szCs w:val="20"/>
        </w:rPr>
        <w:tab/>
      </w:r>
      <w:r>
        <w:rPr>
          <w:color w:val="1E3454"/>
          <w:sz w:val="20"/>
          <w:szCs w:val="20"/>
        </w:rPr>
        <w:tab/>
        <w:t xml:space="preserve">   Advisor’s Signature                                Date</w:t>
      </w:r>
    </w:p>
    <w:p w:rsidR="00B36621" w:rsidRDefault="00B36621">
      <w:pPr>
        <w:jc w:val="right"/>
        <w:rPr>
          <w:color w:val="1E3454"/>
          <w:sz w:val="20"/>
          <w:szCs w:val="20"/>
        </w:rPr>
      </w:pPr>
    </w:p>
    <w:p w:rsidR="00B36621" w:rsidRDefault="00B36621">
      <w:pPr>
        <w:ind w:left="720"/>
        <w:rPr>
          <w:color w:val="1E3454"/>
        </w:rPr>
      </w:pPr>
      <w:bookmarkStart w:id="0" w:name="_GoBack"/>
      <w:bookmarkEnd w:id="0"/>
    </w:p>
    <w:sectPr w:rsidR="00B366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93F1F"/>
    <w:multiLevelType w:val="multilevel"/>
    <w:tmpl w:val="888CE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84471"/>
    <w:multiLevelType w:val="multilevel"/>
    <w:tmpl w:val="D8D02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21"/>
    <w:rsid w:val="009A5B3B"/>
    <w:rsid w:val="00A25BE2"/>
    <w:rsid w:val="00B36621"/>
    <w:rsid w:val="00D5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AF33"/>
  <w15:docId w15:val="{74F3BE83-D78D-4068-927C-799383CF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24FD"/>
    <w:pPr>
      <w:spacing w:after="0" w:line="240" w:lineRule="auto"/>
      <w:ind w:left="720"/>
      <w:contextualSpacing/>
    </w:pPr>
    <w:rPr>
      <w:rFonts w:cs="Times New Roman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WpLb9kFz08becasedQRfp03A==">CgMxLjA4AHIhMXRQd200NGxXYzZzTUw2N0tyOG9jZU5RT1gwU0c1M3BX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Sullivan</dc:creator>
  <cp:lastModifiedBy>Chhanda Islam</cp:lastModifiedBy>
  <cp:revision>4</cp:revision>
  <dcterms:created xsi:type="dcterms:W3CDTF">2024-04-01T19:57:00Z</dcterms:created>
  <dcterms:modified xsi:type="dcterms:W3CDTF">2025-06-01T15:46:00Z</dcterms:modified>
</cp:coreProperties>
</file>