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CB508" w14:textId="77777777" w:rsidR="00CA58C3" w:rsidRDefault="00CA58C3">
      <w:pPr>
        <w:rPr>
          <w:rFonts w:ascii="Georgia" w:eastAsia="Georgia" w:hAnsi="Georgia" w:cs="Georgia"/>
          <w:sz w:val="2"/>
          <w:szCs w:val="2"/>
        </w:rPr>
      </w:pPr>
    </w:p>
    <w:tbl>
      <w:tblPr>
        <w:tblStyle w:val="a"/>
        <w:tblW w:w="10800" w:type="dxa"/>
        <w:tblLayout w:type="fixed"/>
        <w:tblLook w:val="0600" w:firstRow="0" w:lastRow="0" w:firstColumn="0" w:lastColumn="0" w:noHBand="1" w:noVBand="1"/>
      </w:tblPr>
      <w:tblGrid>
        <w:gridCol w:w="8580"/>
        <w:gridCol w:w="2220"/>
      </w:tblGrid>
      <w:tr w:rsidR="00CA58C3" w14:paraId="72563D71" w14:textId="77777777">
        <w:trPr>
          <w:trHeight w:val="1380"/>
        </w:trPr>
        <w:tc>
          <w:tcPr>
            <w:tcW w:w="8580" w:type="dxa"/>
            <w:tcBorders>
              <w:top w:val="nil"/>
              <w:left w:val="nil"/>
              <w:bottom w:val="nil"/>
              <w:right w:val="nil"/>
            </w:tcBorders>
            <w:shd w:val="clear" w:color="auto" w:fill="auto"/>
            <w:tcMar>
              <w:top w:w="36" w:type="dxa"/>
              <w:left w:w="36" w:type="dxa"/>
              <w:bottom w:w="36" w:type="dxa"/>
              <w:right w:w="36" w:type="dxa"/>
            </w:tcMar>
          </w:tcPr>
          <w:p w14:paraId="0F49DADC" w14:textId="77777777" w:rsidR="00CA58C3" w:rsidRDefault="004E2A49">
            <w:pPr>
              <w:rPr>
                <w:rFonts w:ascii="Lato" w:eastAsia="Lato" w:hAnsi="Lato" w:cs="Lato"/>
                <w:color w:val="666666"/>
                <w:sz w:val="20"/>
                <w:szCs w:val="20"/>
              </w:rPr>
            </w:pPr>
            <w:r>
              <w:rPr>
                <w:noProof/>
              </w:rPr>
              <w:drawing>
                <wp:anchor distT="0" distB="0" distL="0" distR="0" simplePos="0" relativeHeight="251658240" behindDoc="0" locked="0" layoutInCell="1" hidden="0" allowOverlap="1" wp14:anchorId="0DD68A02" wp14:editId="7A791DC7">
                  <wp:simplePos x="0" y="0"/>
                  <wp:positionH relativeFrom="column">
                    <wp:posOffset>19050</wp:posOffset>
                  </wp:positionH>
                  <wp:positionV relativeFrom="paragraph">
                    <wp:posOffset>19050</wp:posOffset>
                  </wp:positionV>
                  <wp:extent cx="3367088" cy="909501"/>
                  <wp:effectExtent l="0" t="0" r="0" b="0"/>
                  <wp:wrapSquare wrapText="bothSides" distT="0" distB="0" distL="0" distR="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r="-5798" b="-6397"/>
                          <a:stretch>
                            <a:fillRect/>
                          </a:stretch>
                        </pic:blipFill>
                        <pic:spPr>
                          <a:xfrm>
                            <a:off x="0" y="0"/>
                            <a:ext cx="3367088" cy="909501"/>
                          </a:xfrm>
                          <a:prstGeom prst="rect">
                            <a:avLst/>
                          </a:prstGeom>
                          <a:ln/>
                        </pic:spPr>
                      </pic:pic>
                    </a:graphicData>
                  </a:graphic>
                </wp:anchor>
              </w:drawing>
            </w:r>
          </w:p>
        </w:tc>
        <w:tc>
          <w:tcPr>
            <w:tcW w:w="2220" w:type="dxa"/>
            <w:tcBorders>
              <w:top w:val="nil"/>
              <w:left w:val="nil"/>
              <w:bottom w:val="nil"/>
              <w:right w:val="nil"/>
            </w:tcBorders>
            <w:shd w:val="clear" w:color="auto" w:fill="auto"/>
            <w:tcMar>
              <w:top w:w="36" w:type="dxa"/>
              <w:left w:w="36" w:type="dxa"/>
              <w:bottom w:w="36" w:type="dxa"/>
              <w:right w:w="36" w:type="dxa"/>
            </w:tcMar>
          </w:tcPr>
          <w:p w14:paraId="1F5DF394" w14:textId="77777777" w:rsidR="00CA58C3" w:rsidRDefault="00CA58C3">
            <w:pPr>
              <w:spacing w:line="307" w:lineRule="auto"/>
              <w:rPr>
                <w:rFonts w:ascii="Lato" w:eastAsia="Lato" w:hAnsi="Lato" w:cs="Lato"/>
                <w:color w:val="666666"/>
                <w:sz w:val="20"/>
                <w:szCs w:val="20"/>
              </w:rPr>
            </w:pPr>
            <w:bookmarkStart w:id="0" w:name="_gjdgxs" w:colFirst="0" w:colLast="0"/>
            <w:bookmarkEnd w:id="0"/>
          </w:p>
        </w:tc>
      </w:tr>
    </w:tbl>
    <w:p w14:paraId="71801F98" w14:textId="77777777" w:rsidR="00CA58C3" w:rsidRDefault="00CA58C3">
      <w:pPr>
        <w:rPr>
          <w:rFonts w:ascii="Georgia" w:eastAsia="Georgia" w:hAnsi="Georgia" w:cs="Georgia"/>
          <w:color w:val="142C43"/>
          <w:sz w:val="20"/>
          <w:szCs w:val="20"/>
        </w:rPr>
      </w:pPr>
    </w:p>
    <w:p w14:paraId="5B48FAAF" w14:textId="77777777" w:rsidR="00CA58C3" w:rsidRDefault="004E2A49">
      <w:pPr>
        <w:rPr>
          <w:rFonts w:ascii="Georgia" w:eastAsia="Georgia" w:hAnsi="Georgia" w:cs="Georgia"/>
          <w:color w:val="142C43"/>
          <w:sz w:val="20"/>
          <w:szCs w:val="20"/>
        </w:rPr>
      </w:pPr>
      <w:r>
        <w:rPr>
          <w:rFonts w:ascii="Lato" w:eastAsia="Lato" w:hAnsi="Lato" w:cs="Lato"/>
          <w:b/>
          <w:color w:val="142C43"/>
        </w:rPr>
        <w:t xml:space="preserve">FOR IMMEDIATE RELEASE: </w:t>
      </w:r>
      <w:r>
        <w:rPr>
          <w:rFonts w:ascii="Lato" w:eastAsia="Lato" w:hAnsi="Lato" w:cs="Lato"/>
          <w:color w:val="142C43"/>
          <w:highlight w:val="yellow"/>
        </w:rPr>
        <w:t>Month Day, 20XX</w:t>
      </w:r>
      <w:r>
        <w:rPr>
          <w:rFonts w:ascii="Georgia" w:eastAsia="Georgia" w:hAnsi="Georgia" w:cs="Georgia"/>
          <w:noProof/>
          <w:color w:val="142C43"/>
          <w:sz w:val="20"/>
          <w:szCs w:val="20"/>
        </w:rPr>
        <mc:AlternateContent>
          <mc:Choice Requires="wpg">
            <w:drawing>
              <wp:inline distT="114300" distB="114300" distL="114300" distR="114300" wp14:anchorId="13785E32" wp14:editId="0BC2643B">
                <wp:extent cx="6858000" cy="38100"/>
                <wp:effectExtent l="0" t="0" r="0" b="0"/>
                <wp:docPr id="1" name="Straight Arrow Connector 1"/>
                <wp:cNvGraphicFramePr/>
                <a:graphic xmlns:a="http://schemas.openxmlformats.org/drawingml/2006/main">
                  <a:graphicData uri="http://schemas.microsoft.com/office/word/2010/wordprocessingShape">
                    <wps:wsp>
                      <wps:cNvCnPr/>
                      <wps:spPr>
                        <a:xfrm>
                          <a:off x="0" y="3780000"/>
                          <a:ext cx="10692001" cy="0"/>
                        </a:xfrm>
                        <a:prstGeom prst="straightConnector1">
                          <a:avLst/>
                        </a:prstGeom>
                        <a:noFill/>
                        <a:ln w="38100" cap="flat" cmpd="sng">
                          <a:solidFill>
                            <a:srgbClr val="F6C235"/>
                          </a:solidFill>
                          <a:prstDash val="solid"/>
                          <a:round/>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http://schemas.microsoft.com/office/word/2018/wordml" xmlns:w16cex="http://schemas.microsoft.com/office/word/2018/wordml/cex">
            <w:drawing>
              <wp:inline distB="114300" distT="114300" distL="114300" distR="114300">
                <wp:extent cx="6858000" cy="38100"/>
                <wp:effectExtent b="0" l="0" r="0" t="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858000" cy="38100"/>
                        </a:xfrm>
                        <a:prstGeom prst="rect"/>
                        <a:ln/>
                      </pic:spPr>
                    </pic:pic>
                  </a:graphicData>
                </a:graphic>
              </wp:inline>
            </w:drawing>
          </mc:Fallback>
        </mc:AlternateContent>
      </w:r>
    </w:p>
    <w:p w14:paraId="19C5FE24" w14:textId="77777777" w:rsidR="00CA58C3" w:rsidRDefault="00CA58C3">
      <w:pPr>
        <w:rPr>
          <w:rFonts w:ascii="Lato" w:eastAsia="Lato" w:hAnsi="Lato" w:cs="Lato"/>
          <w:color w:val="666666"/>
          <w:sz w:val="20"/>
          <w:szCs w:val="20"/>
        </w:rPr>
      </w:pPr>
    </w:p>
    <w:p w14:paraId="5BB37A80" w14:textId="77777777" w:rsidR="005F3A13" w:rsidRDefault="005F3A13">
      <w:pPr>
        <w:jc w:val="center"/>
        <w:rPr>
          <w:rFonts w:ascii="Cambria" w:eastAsia="Cambria" w:hAnsi="Cambria" w:cs="Cambria"/>
          <w:b/>
          <w:color w:val="142C43"/>
          <w:sz w:val="32"/>
          <w:szCs w:val="32"/>
        </w:rPr>
      </w:pPr>
      <w:r w:rsidRPr="005F3A13">
        <w:rPr>
          <w:rFonts w:ascii="Cambria" w:eastAsia="Cambria" w:hAnsi="Cambria" w:cs="Cambria"/>
          <w:b/>
          <w:color w:val="142C43"/>
          <w:sz w:val="32"/>
          <w:szCs w:val="32"/>
          <w:highlight w:val="yellow"/>
        </w:rPr>
        <w:t>(Student name)</w:t>
      </w:r>
      <w:r w:rsidRPr="005F3A13">
        <w:rPr>
          <w:rFonts w:ascii="Cambria" w:eastAsia="Cambria" w:hAnsi="Cambria" w:cs="Cambria"/>
          <w:b/>
          <w:color w:val="142C43"/>
          <w:sz w:val="32"/>
          <w:szCs w:val="32"/>
        </w:rPr>
        <w:t xml:space="preserve"> graduates from Murray State University</w:t>
      </w:r>
    </w:p>
    <w:p w14:paraId="0F6F6F06" w14:textId="77777777" w:rsidR="00CA58C3" w:rsidRDefault="00CA58C3">
      <w:pPr>
        <w:ind w:right="360"/>
        <w:rPr>
          <w:rFonts w:ascii="Cambria" w:eastAsia="Cambria" w:hAnsi="Cambria" w:cs="Cambria"/>
          <w:color w:val="142C43"/>
          <w:sz w:val="20"/>
          <w:szCs w:val="20"/>
        </w:rPr>
      </w:pPr>
    </w:p>
    <w:p w14:paraId="4102E995" w14:textId="77777777" w:rsidR="005F3A13" w:rsidRDefault="004E2A49" w:rsidP="005F3A13">
      <w:pPr>
        <w:spacing w:line="288" w:lineRule="auto"/>
        <w:rPr>
          <w:rFonts w:ascii="Cambria" w:eastAsia="Cambria" w:hAnsi="Cambria" w:cs="Cambria"/>
          <w:highlight w:val="yellow"/>
        </w:rPr>
      </w:pPr>
      <w:r>
        <w:rPr>
          <w:rFonts w:ascii="Cambria" w:eastAsia="Cambria" w:hAnsi="Cambria" w:cs="Cambria"/>
          <w:b/>
          <w:color w:val="142C43"/>
        </w:rPr>
        <w:t xml:space="preserve">MURRAY, Ky. </w:t>
      </w:r>
      <w:r>
        <w:rPr>
          <w:rFonts w:ascii="Cambria" w:eastAsia="Cambria" w:hAnsi="Cambria" w:cs="Cambria"/>
          <w:color w:val="142C43"/>
        </w:rPr>
        <w:t xml:space="preserve">— </w:t>
      </w:r>
      <w:r w:rsidR="005F3A13">
        <w:rPr>
          <w:rFonts w:ascii="Cambria" w:eastAsia="Cambria" w:hAnsi="Cambria" w:cs="Cambria"/>
          <w:highlight w:val="yellow"/>
        </w:rPr>
        <w:t>(Student name)</w:t>
      </w:r>
      <w:r w:rsidR="005F3A13">
        <w:rPr>
          <w:rFonts w:ascii="Cambria" w:eastAsia="Cambria" w:hAnsi="Cambria" w:cs="Cambria"/>
        </w:rPr>
        <w:t xml:space="preserve"> from </w:t>
      </w:r>
      <w:r w:rsidR="005F3A13">
        <w:rPr>
          <w:rFonts w:ascii="Cambria" w:eastAsia="Cambria" w:hAnsi="Cambria" w:cs="Cambria"/>
          <w:highlight w:val="yellow"/>
        </w:rPr>
        <w:t xml:space="preserve">(city, state and/or country) </w:t>
      </w:r>
      <w:r w:rsidR="005F3A13">
        <w:rPr>
          <w:rFonts w:ascii="Cambria" w:eastAsia="Cambria" w:hAnsi="Cambria" w:cs="Cambria"/>
        </w:rPr>
        <w:t xml:space="preserve">has graduated from Murray State University with a </w:t>
      </w:r>
      <w:r w:rsidR="005F3A13">
        <w:rPr>
          <w:rFonts w:ascii="Cambria" w:eastAsia="Cambria" w:hAnsi="Cambria" w:cs="Cambria"/>
          <w:highlight w:val="yellow"/>
        </w:rPr>
        <w:t>(Bachelor/Master/Doctorate/etc)</w:t>
      </w:r>
      <w:r w:rsidR="005F3A13">
        <w:rPr>
          <w:rFonts w:ascii="Cambria" w:eastAsia="Cambria" w:hAnsi="Cambria" w:cs="Cambria"/>
        </w:rPr>
        <w:t xml:space="preserve"> of </w:t>
      </w:r>
      <w:r w:rsidR="005F3A13">
        <w:rPr>
          <w:rFonts w:ascii="Cambria" w:eastAsia="Cambria" w:hAnsi="Cambria" w:cs="Cambria"/>
          <w:highlight w:val="yellow"/>
        </w:rPr>
        <w:t>(Arts/Science/etc)</w:t>
      </w:r>
      <w:r w:rsidR="005F3A13">
        <w:rPr>
          <w:rFonts w:ascii="Cambria" w:eastAsia="Cambria" w:hAnsi="Cambria" w:cs="Cambria"/>
        </w:rPr>
        <w:t xml:space="preserve"> in </w:t>
      </w:r>
      <w:r w:rsidR="005F3A13">
        <w:rPr>
          <w:rFonts w:ascii="Cambria" w:eastAsia="Cambria" w:hAnsi="Cambria" w:cs="Cambria"/>
          <w:highlight w:val="yellow"/>
        </w:rPr>
        <w:t>(major).</w:t>
      </w:r>
    </w:p>
    <w:p w14:paraId="27C7E002" w14:textId="77777777" w:rsidR="005F3A13" w:rsidRDefault="005F3A13" w:rsidP="005F3A13">
      <w:pPr>
        <w:spacing w:line="288" w:lineRule="auto"/>
        <w:rPr>
          <w:rFonts w:ascii="Cambria" w:eastAsia="Cambria" w:hAnsi="Cambria" w:cs="Cambria"/>
          <w:highlight w:val="yellow"/>
        </w:rPr>
      </w:pPr>
    </w:p>
    <w:p w14:paraId="39E96F43" w14:textId="77777777" w:rsidR="005F3A13" w:rsidRDefault="005F3A13" w:rsidP="005F3A13">
      <w:pPr>
        <w:spacing w:line="288" w:lineRule="auto"/>
        <w:rPr>
          <w:rFonts w:ascii="Cambria" w:eastAsia="Cambria" w:hAnsi="Cambria" w:cs="Cambria"/>
          <w:highlight w:val="yellow"/>
        </w:rPr>
      </w:pPr>
      <w:r>
        <w:rPr>
          <w:rFonts w:ascii="Cambria" w:eastAsia="Cambria" w:hAnsi="Cambria" w:cs="Cambria"/>
          <w:highlight w:val="yellow"/>
        </w:rPr>
        <w:t>(Student name)</w:t>
      </w:r>
      <w:r>
        <w:rPr>
          <w:rFonts w:ascii="Cambria" w:eastAsia="Cambria" w:hAnsi="Cambria" w:cs="Cambria"/>
        </w:rPr>
        <w:t xml:space="preserve"> is the </w:t>
      </w:r>
      <w:r>
        <w:rPr>
          <w:rFonts w:ascii="Cambria" w:eastAsia="Cambria" w:hAnsi="Cambria" w:cs="Cambria"/>
          <w:highlight w:val="yellow"/>
        </w:rPr>
        <w:t>(daughter/son)</w:t>
      </w:r>
      <w:r>
        <w:rPr>
          <w:rFonts w:ascii="Cambria" w:eastAsia="Cambria" w:hAnsi="Cambria" w:cs="Cambria"/>
        </w:rPr>
        <w:t xml:space="preserve"> of </w:t>
      </w:r>
      <w:r>
        <w:rPr>
          <w:rFonts w:ascii="Cambria" w:eastAsia="Cambria" w:hAnsi="Cambria" w:cs="Cambria"/>
          <w:highlight w:val="yellow"/>
        </w:rPr>
        <w:t>(parent’s name or names).</w:t>
      </w:r>
    </w:p>
    <w:p w14:paraId="4B5E4291" w14:textId="77777777" w:rsidR="005F3A13" w:rsidRDefault="005F3A13" w:rsidP="005F3A13">
      <w:pPr>
        <w:spacing w:line="288" w:lineRule="auto"/>
        <w:rPr>
          <w:rFonts w:ascii="Cambria" w:eastAsia="Cambria" w:hAnsi="Cambria" w:cs="Cambria"/>
          <w:highlight w:val="yellow"/>
        </w:rPr>
      </w:pPr>
    </w:p>
    <w:p w14:paraId="7A2C9DB9" w14:textId="77777777" w:rsidR="005F3A13" w:rsidRDefault="005F3A13" w:rsidP="005F3A13">
      <w:pPr>
        <w:spacing w:line="288" w:lineRule="auto"/>
        <w:rPr>
          <w:rFonts w:ascii="Cambria" w:eastAsia="Cambria" w:hAnsi="Cambria" w:cs="Cambria"/>
          <w:highlight w:val="yellow"/>
        </w:rPr>
      </w:pPr>
      <w:r>
        <w:rPr>
          <w:rFonts w:ascii="Cambria" w:eastAsia="Cambria" w:hAnsi="Cambria" w:cs="Cambria"/>
          <w:highlight w:val="yellow"/>
        </w:rPr>
        <w:t>(INCLUDE ACADEMIC HONORS/AWARDS HERE)</w:t>
      </w:r>
    </w:p>
    <w:p w14:paraId="1CABB560" w14:textId="77777777" w:rsidR="004E35FF" w:rsidRDefault="004E35FF" w:rsidP="005F3A13">
      <w:pPr>
        <w:spacing w:line="288" w:lineRule="auto"/>
        <w:rPr>
          <w:rFonts w:ascii="Cambria" w:eastAsia="Cambria" w:hAnsi="Cambria" w:cs="Cambria"/>
          <w:highlight w:val="yellow"/>
        </w:rPr>
      </w:pPr>
    </w:p>
    <w:p w14:paraId="0259DE66" w14:textId="02D6A6B5" w:rsidR="004E35FF" w:rsidRPr="00213F42" w:rsidRDefault="004E35FF" w:rsidP="005F3A13">
      <w:pPr>
        <w:spacing w:line="288" w:lineRule="auto"/>
        <w:rPr>
          <w:rFonts w:ascii="Cambria" w:eastAsia="Cambria" w:hAnsi="Cambria" w:cs="Cambria"/>
        </w:rPr>
      </w:pPr>
      <w:r w:rsidRPr="00213F42">
        <w:rPr>
          <w:rFonts w:ascii="Cambria" w:eastAsia="Cambria" w:hAnsi="Cambria" w:cs="Cambria"/>
        </w:rPr>
        <w:t xml:space="preserve">A total of </w:t>
      </w:r>
      <w:r w:rsidR="00213F42" w:rsidRPr="00213F42">
        <w:rPr>
          <w:rFonts w:ascii="Cambria" w:eastAsia="Cambria" w:hAnsi="Cambria" w:cs="Cambria"/>
        </w:rPr>
        <w:t>1</w:t>
      </w:r>
      <w:r w:rsidR="008652B8">
        <w:rPr>
          <w:rFonts w:ascii="Cambria" w:eastAsia="Cambria" w:hAnsi="Cambria" w:cs="Cambria"/>
        </w:rPr>
        <w:t>,</w:t>
      </w:r>
      <w:r w:rsidR="00213F42" w:rsidRPr="00213F42">
        <w:rPr>
          <w:rFonts w:ascii="Cambria" w:eastAsia="Cambria" w:hAnsi="Cambria" w:cs="Cambria"/>
        </w:rPr>
        <w:t>464</w:t>
      </w:r>
      <w:r w:rsidRPr="00213F42">
        <w:rPr>
          <w:rFonts w:ascii="Cambria" w:eastAsia="Cambria" w:hAnsi="Cambria" w:cs="Cambria"/>
        </w:rPr>
        <w:t xml:space="preserve"> degree applicants </w:t>
      </w:r>
      <w:r w:rsidR="008652B8">
        <w:rPr>
          <w:rFonts w:ascii="Cambria" w:eastAsia="Cambria" w:hAnsi="Cambria" w:cs="Cambria"/>
        </w:rPr>
        <w:t>comprise</w:t>
      </w:r>
      <w:r w:rsidRPr="00213F42">
        <w:rPr>
          <w:rFonts w:ascii="Cambria" w:eastAsia="Cambria" w:hAnsi="Cambria" w:cs="Cambria"/>
        </w:rPr>
        <w:t xml:space="preserve"> this </w:t>
      </w:r>
      <w:r w:rsidR="00F77C7A" w:rsidRPr="00213F42">
        <w:rPr>
          <w:rFonts w:ascii="Cambria" w:eastAsia="Cambria" w:hAnsi="Cambria" w:cs="Cambria"/>
        </w:rPr>
        <w:t>spring’s</w:t>
      </w:r>
      <w:r w:rsidR="00C36A49" w:rsidRPr="00213F42">
        <w:rPr>
          <w:rFonts w:ascii="Cambria" w:eastAsia="Cambria" w:hAnsi="Cambria" w:cs="Cambria"/>
        </w:rPr>
        <w:t xml:space="preserve"> </w:t>
      </w:r>
      <w:r w:rsidRPr="00213F42">
        <w:rPr>
          <w:rFonts w:ascii="Cambria" w:eastAsia="Cambria" w:hAnsi="Cambria" w:cs="Cambria"/>
        </w:rPr>
        <w:t>graduating class</w:t>
      </w:r>
      <w:r w:rsidR="008652B8">
        <w:rPr>
          <w:rFonts w:ascii="Cambria" w:eastAsia="Cambria" w:hAnsi="Cambria" w:cs="Cambria"/>
        </w:rPr>
        <w:t xml:space="preserve"> of degree applicants from May and August, </w:t>
      </w:r>
      <w:r w:rsidRPr="00213F42">
        <w:rPr>
          <w:rFonts w:ascii="Cambria" w:eastAsia="Cambria" w:hAnsi="Cambria" w:cs="Cambria"/>
        </w:rPr>
        <w:t>including doctoral, specialist, master’s, baccalaureate and associate degrees</w:t>
      </w:r>
      <w:r w:rsidR="008652B8">
        <w:rPr>
          <w:rFonts w:ascii="Cambria" w:eastAsia="Cambria" w:hAnsi="Cambria" w:cs="Cambria"/>
        </w:rPr>
        <w:t xml:space="preserve">. A total of </w:t>
      </w:r>
      <w:r w:rsidR="00213F42" w:rsidRPr="00213F42">
        <w:rPr>
          <w:rFonts w:ascii="Cambria" w:eastAsia="Cambria" w:hAnsi="Cambria" w:cs="Cambria"/>
        </w:rPr>
        <w:t>31</w:t>
      </w:r>
      <w:r w:rsidRPr="00213F42">
        <w:rPr>
          <w:rFonts w:ascii="Cambria" w:eastAsia="Cambria" w:hAnsi="Cambria" w:cs="Cambria"/>
        </w:rPr>
        <w:t xml:space="preserve"> states and </w:t>
      </w:r>
      <w:r w:rsidR="00213F42" w:rsidRPr="00213F42">
        <w:rPr>
          <w:rFonts w:ascii="Cambria" w:eastAsia="Cambria" w:hAnsi="Cambria" w:cs="Cambria"/>
        </w:rPr>
        <w:t>22</w:t>
      </w:r>
      <w:r w:rsidRPr="00213F42">
        <w:rPr>
          <w:rFonts w:ascii="Cambria" w:eastAsia="Cambria" w:hAnsi="Cambria" w:cs="Cambria"/>
        </w:rPr>
        <w:t xml:space="preserve"> countries </w:t>
      </w:r>
      <w:r w:rsidR="008652B8">
        <w:rPr>
          <w:rFonts w:ascii="Cambria" w:eastAsia="Cambria" w:hAnsi="Cambria" w:cs="Cambria"/>
        </w:rPr>
        <w:t xml:space="preserve">are </w:t>
      </w:r>
      <w:r w:rsidRPr="00213F42">
        <w:rPr>
          <w:rFonts w:ascii="Cambria" w:eastAsia="Cambria" w:hAnsi="Cambria" w:cs="Cambria"/>
        </w:rPr>
        <w:t>represented</w:t>
      </w:r>
      <w:r w:rsidR="00F77C7A" w:rsidRPr="00213F42">
        <w:rPr>
          <w:rFonts w:ascii="Cambria" w:eastAsia="Cambria" w:hAnsi="Cambria" w:cs="Cambria"/>
        </w:rPr>
        <w:t>.</w:t>
      </w:r>
    </w:p>
    <w:p w14:paraId="4CB59D36" w14:textId="77777777" w:rsidR="005F3A13" w:rsidRDefault="005F3A13" w:rsidP="005F3A13">
      <w:pPr>
        <w:spacing w:line="288" w:lineRule="auto"/>
        <w:rPr>
          <w:rFonts w:ascii="Cambria" w:eastAsia="Cambria" w:hAnsi="Cambria" w:cs="Cambria"/>
          <w:highlight w:val="yellow"/>
        </w:rPr>
      </w:pPr>
    </w:p>
    <w:p w14:paraId="6E5CF643" w14:textId="61B77384" w:rsidR="00816949" w:rsidRDefault="00F77C7A" w:rsidP="005F3A13">
      <w:pPr>
        <w:spacing w:line="288" w:lineRule="auto"/>
        <w:rPr>
          <w:rFonts w:ascii="Cambria" w:eastAsia="Cambria" w:hAnsi="Cambria" w:cs="Cambria"/>
        </w:rPr>
      </w:pPr>
      <w:r w:rsidRPr="00F77C7A">
        <w:rPr>
          <w:rFonts w:ascii="Cambria" w:eastAsia="Cambria" w:hAnsi="Cambria" w:cs="Cambria"/>
        </w:rPr>
        <w:t>There is still time for soon-to-be graduating high school stud</w:t>
      </w:r>
      <w:bookmarkStart w:id="1" w:name="_GoBack"/>
      <w:bookmarkEnd w:id="1"/>
      <w:r w:rsidRPr="00F77C7A">
        <w:rPr>
          <w:rFonts w:ascii="Cambria" w:eastAsia="Cambria" w:hAnsi="Cambria" w:cs="Cambria"/>
        </w:rPr>
        <w:t>ents to apply for admission for the upcoming 2021-22 academic year. Students interested in joining the Racer Family can learn more, schedule a virtual or on-campus visit and apply for admission at admissions.murraystate.edu.</w:t>
      </w:r>
    </w:p>
    <w:p w14:paraId="55D76B1D" w14:textId="44352169" w:rsidR="00213F42" w:rsidRDefault="00213F42" w:rsidP="005F3A13">
      <w:pPr>
        <w:spacing w:line="288" w:lineRule="auto"/>
        <w:rPr>
          <w:rFonts w:ascii="Cambria" w:eastAsia="Cambria" w:hAnsi="Cambria" w:cs="Cambria"/>
        </w:rPr>
      </w:pPr>
    </w:p>
    <w:p w14:paraId="2C13E23C" w14:textId="77777777" w:rsidR="00816949" w:rsidRPr="00816949" w:rsidRDefault="00816949" w:rsidP="00816949">
      <w:pPr>
        <w:spacing w:line="288" w:lineRule="auto"/>
        <w:rPr>
          <w:rFonts w:ascii="Cambria" w:eastAsia="Cambria" w:hAnsi="Cambria" w:cs="Cambria"/>
        </w:rPr>
      </w:pPr>
      <w:r w:rsidRPr="00816949">
        <w:rPr>
          <w:rFonts w:ascii="Cambria" w:eastAsia="Cambria" w:hAnsi="Cambria" w:cs="Cambria"/>
        </w:rPr>
        <w:t xml:space="preserve">Since 1922, Murray State University has provided a collaborative, opportunity-rich living and learning community that fosters personal growth and professional success through a high-quality college experience. Students receive support from inspiring faculty and staff and will join a distinctive campus community — the Racer Family. With nearly 10,000 students, Murray State prepares the next generation of leaders to join 75,000 successful alumni who make a difference in their community, across the country and around the world. We are Racers. The University’s main campus is located in Murray, Kentucky, and includes five regional campuses in Ft. Campbell, Henderson, Hopkinsville, Madisonville and Paducah. </w:t>
      </w:r>
    </w:p>
    <w:p w14:paraId="11DAD8EA" w14:textId="77777777" w:rsidR="00816949" w:rsidRPr="00816949" w:rsidRDefault="00816949" w:rsidP="00816949">
      <w:pPr>
        <w:spacing w:line="288" w:lineRule="auto"/>
        <w:rPr>
          <w:rFonts w:ascii="Cambria" w:eastAsia="Cambria" w:hAnsi="Cambria" w:cs="Cambria"/>
        </w:rPr>
      </w:pPr>
    </w:p>
    <w:p w14:paraId="13C03691" w14:textId="77777777" w:rsidR="00816949" w:rsidRDefault="00816949" w:rsidP="00816949">
      <w:pPr>
        <w:spacing w:line="288" w:lineRule="auto"/>
        <w:rPr>
          <w:rFonts w:ascii="Cambria" w:eastAsia="Cambria" w:hAnsi="Cambria" w:cs="Cambria"/>
          <w:highlight w:val="yellow"/>
        </w:rPr>
      </w:pPr>
      <w:r w:rsidRPr="00816949">
        <w:rPr>
          <w:rFonts w:ascii="Cambria" w:eastAsia="Cambria" w:hAnsi="Cambria" w:cs="Cambria"/>
        </w:rPr>
        <w:t>To learn more about Murray State University, please visit murraystate.edu.</w:t>
      </w:r>
    </w:p>
    <w:p w14:paraId="4FFA1CEF" w14:textId="77777777" w:rsidR="00CA58C3" w:rsidRDefault="00CA58C3">
      <w:pPr>
        <w:rPr>
          <w:rFonts w:ascii="Cambria" w:eastAsia="Cambria" w:hAnsi="Cambria" w:cs="Cambria"/>
          <w:color w:val="142C43"/>
        </w:rPr>
      </w:pPr>
    </w:p>
    <w:p w14:paraId="4934E8DF" w14:textId="77777777" w:rsidR="00CA58C3" w:rsidRDefault="00CA58C3">
      <w:pPr>
        <w:jc w:val="center"/>
        <w:rPr>
          <w:rFonts w:ascii="Georgia" w:eastAsia="Georgia" w:hAnsi="Georgia" w:cs="Georgia"/>
          <w:color w:val="142C43"/>
        </w:rPr>
      </w:pPr>
      <w:bookmarkStart w:id="2" w:name="_1t3h5sf" w:colFirst="0" w:colLast="0"/>
      <w:bookmarkEnd w:id="2"/>
    </w:p>
    <w:sectPr w:rsidR="00CA58C3">
      <w:headerReference w:type="first" r:id="rId10"/>
      <w:footerReference w:type="firs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34FCE" w14:textId="77777777" w:rsidR="00E22490" w:rsidRDefault="00E22490">
      <w:pPr>
        <w:spacing w:line="240" w:lineRule="auto"/>
      </w:pPr>
      <w:r>
        <w:separator/>
      </w:r>
    </w:p>
  </w:endnote>
  <w:endnote w:type="continuationSeparator" w:id="0">
    <w:p w14:paraId="3398808D" w14:textId="77777777" w:rsidR="00E22490" w:rsidRDefault="00E22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8526" w14:textId="77777777" w:rsidR="00CA58C3" w:rsidRDefault="00CA5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E74EE" w14:textId="77777777" w:rsidR="00E22490" w:rsidRDefault="00E22490">
      <w:pPr>
        <w:spacing w:line="240" w:lineRule="auto"/>
      </w:pPr>
      <w:r>
        <w:separator/>
      </w:r>
    </w:p>
  </w:footnote>
  <w:footnote w:type="continuationSeparator" w:id="0">
    <w:p w14:paraId="68C86B13" w14:textId="77777777" w:rsidR="00E22490" w:rsidRDefault="00E224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5461B" w14:textId="77777777" w:rsidR="00CA58C3" w:rsidRDefault="00CA58C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C3"/>
    <w:rsid w:val="00111FD9"/>
    <w:rsid w:val="00213F42"/>
    <w:rsid w:val="004E2A49"/>
    <w:rsid w:val="004E35FF"/>
    <w:rsid w:val="00553A7E"/>
    <w:rsid w:val="0055594C"/>
    <w:rsid w:val="005F3A13"/>
    <w:rsid w:val="00816949"/>
    <w:rsid w:val="008652B8"/>
    <w:rsid w:val="00934BA3"/>
    <w:rsid w:val="009A6289"/>
    <w:rsid w:val="00A568D3"/>
    <w:rsid w:val="00BF7370"/>
    <w:rsid w:val="00C36A49"/>
    <w:rsid w:val="00CA58C3"/>
    <w:rsid w:val="00D03ED4"/>
    <w:rsid w:val="00E22490"/>
    <w:rsid w:val="00F77C7A"/>
    <w:rsid w:val="00F8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32A7"/>
  <w15:docId w15:val="{2729F221-DCB9-4077-B2A1-14C1B730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169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169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27280">
      <w:bodyDiv w:val="1"/>
      <w:marLeft w:val="0"/>
      <w:marRight w:val="0"/>
      <w:marTop w:val="0"/>
      <w:marBottom w:val="0"/>
      <w:divBdr>
        <w:top w:val="none" w:sz="0" w:space="0" w:color="auto"/>
        <w:left w:val="none" w:sz="0" w:space="0" w:color="auto"/>
        <w:bottom w:val="none" w:sz="0" w:space="0" w:color="auto"/>
        <w:right w:val="none" w:sz="0" w:space="0" w:color="auto"/>
      </w:divBdr>
    </w:div>
    <w:div w:id="1485779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Touney</dc:creator>
  <cp:lastModifiedBy>Shawn Touney</cp:lastModifiedBy>
  <cp:revision>2</cp:revision>
  <dcterms:created xsi:type="dcterms:W3CDTF">2021-04-21T18:19:00Z</dcterms:created>
  <dcterms:modified xsi:type="dcterms:W3CDTF">2021-04-21T18:19:00Z</dcterms:modified>
</cp:coreProperties>
</file>